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7E7348A4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A12B2C">
        <w:rPr>
          <w:szCs w:val="24"/>
          <w:u w:val="none"/>
        </w:rPr>
        <w:t>APRIL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08C4122D" w14:textId="61096DB2" w:rsidR="00EE0985" w:rsidRDefault="00EE0985" w:rsidP="00EE0985">
      <w:pPr>
        <w:rPr>
          <w:b/>
          <w:bCs/>
          <w:szCs w:val="28"/>
        </w:rPr>
      </w:pPr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p w14:paraId="11BD7C4E" w14:textId="77777777" w:rsidR="000002FB" w:rsidRDefault="000002FB" w:rsidP="00EE0985"/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860"/>
        <w:gridCol w:w="1991"/>
      </w:tblGrid>
      <w:tr w:rsidR="00EE0985" w:rsidRPr="00023400" w14:paraId="672F5CC8" w14:textId="77777777" w:rsidTr="00A12B2C">
        <w:trPr>
          <w:trHeight w:val="680"/>
          <w:jc w:val="center"/>
        </w:trPr>
        <w:tc>
          <w:tcPr>
            <w:tcW w:w="4990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A12B2C">
        <w:trPr>
          <w:trHeight w:val="680"/>
          <w:jc w:val="center"/>
        </w:trPr>
        <w:tc>
          <w:tcPr>
            <w:tcW w:w="4990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3B6C05" w:rsidRPr="00023400" w14:paraId="0B21C56A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22D28754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62EAE65C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</w:t>
            </w:r>
          </w:p>
        </w:tc>
      </w:tr>
      <w:tr w:rsidR="003B6C05" w:rsidRPr="00023400" w14:paraId="48D38524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79C2779B" w14:textId="788A81CB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019E6FBF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689450BB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6787</w:t>
            </w:r>
          </w:p>
        </w:tc>
      </w:tr>
      <w:tr w:rsidR="003B6C05" w:rsidRPr="00023400" w14:paraId="4E72AEA9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363197C7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22724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1CE9F2B3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22724</w:t>
            </w:r>
          </w:p>
        </w:tc>
      </w:tr>
      <w:tr w:rsidR="003B6C05" w:rsidRPr="00023400" w14:paraId="7BDEA94B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27987946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56106B8F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B6C05" w:rsidRPr="00023400" w14:paraId="1393FD83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1F71386A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4EFB1F12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</w:t>
            </w:r>
          </w:p>
        </w:tc>
      </w:tr>
      <w:tr w:rsidR="003B6C05" w:rsidRPr="00023400" w14:paraId="0C69E2A8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26370227" w14:textId="3FF97D9F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1C31F0B6" w14:textId="528F7EAA" w:rsidR="003B6C05" w:rsidRPr="00023400" w:rsidRDefault="003B6C05" w:rsidP="003B6C05">
            <w:pPr>
              <w:rPr>
                <w:sz w:val="32"/>
              </w:rPr>
            </w:pPr>
            <w:r>
              <w:t xml:space="preserve">       (ii) Support Services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CFAAE" w14:textId="77777777" w:rsidR="003B6C05" w:rsidRDefault="003B6C05" w:rsidP="003B6C05">
            <w:pPr>
              <w:jc w:val="center"/>
              <w:rPr>
                <w:b/>
                <w:bCs/>
              </w:rPr>
            </w:pPr>
          </w:p>
          <w:p w14:paraId="25D99B37" w14:textId="77777777" w:rsidR="003B6C05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42EC4564" w14:textId="06ECC042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D261" w14:textId="77777777" w:rsidR="003B6C05" w:rsidRDefault="003B6C05" w:rsidP="003B6C05">
            <w:pPr>
              <w:jc w:val="center"/>
              <w:rPr>
                <w:b/>
                <w:bCs/>
              </w:rPr>
            </w:pPr>
          </w:p>
          <w:p w14:paraId="490A88BD" w14:textId="77777777" w:rsidR="003B6C05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D2EEDE8" w14:textId="342C88A9" w:rsidR="003B6C05" w:rsidRPr="00023400" w:rsidRDefault="003B6C0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5531</w:t>
            </w:r>
          </w:p>
        </w:tc>
      </w:tr>
    </w:tbl>
    <w:p w14:paraId="18EF7AC3" w14:textId="2824653F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8743DF">
        <w:trPr>
          <w:trHeight w:val="669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2430E8">
        <w:trPr>
          <w:trHeight w:val="669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3B6C05" w:rsidRPr="00023400" w14:paraId="770C65EB" w14:textId="77777777" w:rsidTr="00766133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F6BE5EE" w14:textId="6ECBC0FC" w:rsidR="003B6C05" w:rsidRDefault="003B6C05" w:rsidP="00732345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vAlign w:val="center"/>
          </w:tcPr>
          <w:p w14:paraId="34247E41" w14:textId="045A44D4" w:rsidR="003B6C05" w:rsidRPr="00DB2E71" w:rsidRDefault="003B6C05" w:rsidP="00051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Admissions under Process</w:t>
            </w:r>
          </w:p>
        </w:tc>
      </w:tr>
      <w:tr w:rsidR="00732345" w:rsidRPr="00023400" w14:paraId="0EB84389" w14:textId="77777777" w:rsidTr="002430E8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732345" w:rsidRPr="008807A7" w:rsidRDefault="00732345" w:rsidP="00732345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 w:rsidR="002B1485"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732345" w:rsidRPr="00064A32" w:rsidRDefault="00903894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160F3350" w:rsidR="00732345" w:rsidRPr="00DB2E71" w:rsidRDefault="003B6C05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603043AD" w:rsidR="00732345" w:rsidRPr="00DB2E71" w:rsidRDefault="003B6C05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</w:t>
            </w:r>
          </w:p>
        </w:tc>
      </w:tr>
    </w:tbl>
    <w:p w14:paraId="4E0391DF" w14:textId="77777777" w:rsidR="00834451" w:rsidRDefault="00834451" w:rsidP="00E64944">
      <w:bookmarkStart w:id="0" w:name="_GoBack"/>
      <w:bookmarkEnd w:id="0"/>
    </w:p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C5F6EA1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62D4A668" w:rsidR="00514A02" w:rsidRPr="00E124DD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AA6E41">
        <w:rPr>
          <w:bCs/>
        </w:rPr>
        <w:t>Nil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3B2CA6B9" w:rsidR="00082E6D" w:rsidRPr="005D589A" w:rsidRDefault="006C370D" w:rsidP="00082E6D">
      <w:pPr>
        <w:jc w:val="both"/>
      </w:pPr>
      <w:r>
        <w:rPr>
          <w:b/>
          <w:bCs/>
        </w:rPr>
        <w:t>E</w:t>
      </w:r>
      <w:r w:rsidR="00063C09">
        <w:rPr>
          <w:b/>
          <w:bCs/>
        </w:rPr>
        <w:t xml:space="preserve">) </w:t>
      </w:r>
      <w:r w:rsidR="00063C09" w:rsidRPr="007D55EB">
        <w:rPr>
          <w:b/>
          <w:bCs/>
        </w:rPr>
        <w:t xml:space="preserve">Awareness Generation/Distribution and other camps </w:t>
      </w:r>
      <w:proofErr w:type="spellStart"/>
      <w:proofErr w:type="gramStart"/>
      <w:r w:rsidR="00063C09" w:rsidRPr="007D55EB">
        <w:rPr>
          <w:b/>
          <w:bCs/>
        </w:rPr>
        <w:t>organised</w:t>
      </w:r>
      <w:proofErr w:type="spellEnd"/>
      <w:r w:rsidR="00063C09" w:rsidRPr="007D55EB">
        <w:rPr>
          <w:b/>
          <w:bCs/>
        </w:rPr>
        <w:t xml:space="preserve"> :</w:t>
      </w:r>
      <w:proofErr w:type="gramEnd"/>
      <w:r w:rsidR="00063C09" w:rsidRPr="007D55EB">
        <w:rPr>
          <w:b/>
          <w:bCs/>
        </w:rPr>
        <w:t xml:space="preserve"> </w:t>
      </w:r>
      <w:r w:rsidR="00082E6D" w:rsidRPr="005D589A">
        <w:t xml:space="preserve">During the reporting month the institute conducted </w:t>
      </w:r>
      <w:r w:rsidR="003B6C05">
        <w:t>two</w:t>
      </w:r>
      <w:r w:rsidR="00AA6E41">
        <w:t xml:space="preserve"> </w:t>
      </w:r>
      <w:r w:rsidR="00082E6D" w:rsidRPr="005D589A">
        <w:t xml:space="preserve">diagnostic and fitment camps </w:t>
      </w:r>
      <w:r w:rsidR="003B6C05">
        <w:t xml:space="preserve">at </w:t>
      </w:r>
      <w:proofErr w:type="spellStart"/>
      <w:r w:rsidR="003B6C05">
        <w:t>Dhule</w:t>
      </w:r>
      <w:proofErr w:type="spellEnd"/>
      <w:r w:rsidR="003B6C05">
        <w:t xml:space="preserve">, Maharashtra </w:t>
      </w:r>
      <w:r w:rsidR="00082E6D" w:rsidRPr="005D589A">
        <w:t xml:space="preserve"> and served </w:t>
      </w:r>
      <w:r w:rsidR="003B6C05">
        <w:t>188</w:t>
      </w:r>
      <w:r w:rsidR="00CD4ECF" w:rsidRPr="005D589A">
        <w:t xml:space="preserve"> </w:t>
      </w:r>
      <w:r w:rsidR="00082E6D" w:rsidRPr="005D589A">
        <w:t xml:space="preserve">persons out of which </w:t>
      </w:r>
      <w:r w:rsidR="003B6C05">
        <w:t>146</w:t>
      </w:r>
      <w:r w:rsidR="00082E6D" w:rsidRPr="005D589A">
        <w:t xml:space="preserve"> persons with hearing impairment were given</w:t>
      </w:r>
      <w:r w:rsidR="008349FB" w:rsidRPr="005D589A">
        <w:t xml:space="preserve"> </w:t>
      </w:r>
      <w:r w:rsidR="003B6C05">
        <w:t>255</w:t>
      </w:r>
      <w:r w:rsidR="00082E6D" w:rsidRPr="005D589A">
        <w:t xml:space="preserve"> 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11B9F18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2B58BEA4" w:rsidR="00063C09" w:rsidRDefault="00063C09" w:rsidP="008D4091">
      <w:pPr>
        <w:jc w:val="both"/>
      </w:pPr>
      <w:r w:rsidRPr="00063C09">
        <w:rPr>
          <w:b/>
          <w:bCs/>
        </w:rPr>
        <w:t>(iv) Progressive use of Hindi (</w:t>
      </w:r>
      <w:proofErr w:type="spellStart"/>
      <w:r w:rsidRPr="00063C09">
        <w:rPr>
          <w:b/>
          <w:bCs/>
        </w:rPr>
        <w:t>Rajbhasha</w:t>
      </w:r>
      <w:proofErr w:type="spellEnd"/>
      <w:proofErr w:type="gramStart"/>
      <w:r w:rsidRPr="00063C09">
        <w:rPr>
          <w:b/>
          <w:bCs/>
        </w:rPr>
        <w:t>) :</w:t>
      </w:r>
      <w:proofErr w:type="gramEnd"/>
      <w:r w:rsidRPr="00063C09">
        <w:rPr>
          <w:b/>
          <w:bCs/>
        </w:rPr>
        <w:t xml:space="preserve">  </w:t>
      </w:r>
      <w:r w:rsidR="00515A8A" w:rsidRPr="0089002E">
        <w:t xml:space="preserve">During the </w:t>
      </w:r>
      <w:r w:rsidR="00515A8A" w:rsidRPr="00846894">
        <w:t>reporting</w:t>
      </w:r>
      <w:r w:rsidR="00515A8A" w:rsidRPr="0089002E">
        <w:t xml:space="preserve"> month the institute sent </w:t>
      </w:r>
      <w:r w:rsidR="003B6C05">
        <w:t>58</w:t>
      </w:r>
      <w:r w:rsidR="001B12A9">
        <w:t xml:space="preserve"> </w:t>
      </w:r>
      <w:r w:rsidR="00515A8A" w:rsidRPr="0089002E">
        <w:t xml:space="preserve">letters in Hindi, </w:t>
      </w:r>
      <w:r w:rsidR="003B6C05">
        <w:t xml:space="preserve">23 </w:t>
      </w:r>
      <w:r w:rsidR="00515A8A" w:rsidRPr="0089002E">
        <w:t>documents were issued in bilingual form and</w:t>
      </w:r>
      <w:r w:rsidR="00846894">
        <w:t xml:space="preserve"> </w:t>
      </w:r>
      <w:r w:rsidR="003B6C05">
        <w:t>78</w:t>
      </w:r>
      <w:r w:rsidR="0013498D">
        <w:t xml:space="preserve"> </w:t>
      </w:r>
      <w:r w:rsidR="00515A8A" w:rsidRPr="0089002E">
        <w:t xml:space="preserve">notes were sent in Hindi. </w:t>
      </w:r>
      <w:r w:rsidR="008D4091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301F7ED5" w:rsidR="00BE4ACC" w:rsidRPr="00E36CEC" w:rsidRDefault="001501C5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5D10F4DF" w14:textId="43516F7F" w:rsidR="00BE4ACC" w:rsidRDefault="001501C5" w:rsidP="00BE4ACC">
            <w:pPr>
              <w:jc w:val="center"/>
            </w:pPr>
            <w:r>
              <w:t>01</w:t>
            </w:r>
          </w:p>
        </w:tc>
        <w:tc>
          <w:tcPr>
            <w:tcW w:w="2305" w:type="dxa"/>
            <w:vAlign w:val="center"/>
          </w:tcPr>
          <w:p w14:paraId="6E8F03F9" w14:textId="262F24DE" w:rsidR="00BE4ACC" w:rsidRDefault="001501C5" w:rsidP="00D21728">
            <w:pPr>
              <w:jc w:val="center"/>
            </w:pPr>
            <w:r>
              <w:t>01</w:t>
            </w:r>
          </w:p>
        </w:tc>
        <w:tc>
          <w:tcPr>
            <w:tcW w:w="2213" w:type="dxa"/>
            <w:vAlign w:val="center"/>
          </w:tcPr>
          <w:p w14:paraId="7F98560C" w14:textId="79A6284B" w:rsidR="00BE4ACC" w:rsidRPr="00E36CEC" w:rsidRDefault="001501C5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t xml:space="preserve"> </w:t>
      </w:r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77777777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</w:t>
      </w:r>
      <w:proofErr w:type="gramStart"/>
      <w:r w:rsidR="00631B33">
        <w:t>any :</w:t>
      </w:r>
      <w:proofErr w:type="gramEnd"/>
      <w:r w:rsidR="00631B33">
        <w:t xml:space="preserve"> </w:t>
      </w:r>
      <w:r w:rsidR="003B6C05" w:rsidRPr="00CB0585">
        <w:rPr>
          <w:bCs/>
        </w:rPr>
        <w:t xml:space="preserve">Shri </w:t>
      </w:r>
      <w:proofErr w:type="spellStart"/>
      <w:r w:rsidR="003B6C05" w:rsidRPr="00CB0585">
        <w:rPr>
          <w:bCs/>
        </w:rPr>
        <w:t>Virendra</w:t>
      </w:r>
      <w:proofErr w:type="spellEnd"/>
      <w:r w:rsidR="003B6C05" w:rsidRPr="00CB0585">
        <w:rPr>
          <w:bCs/>
        </w:rPr>
        <w:t xml:space="preserve"> Kumar, Ho</w:t>
      </w:r>
      <w:r w:rsidR="003B6C05">
        <w:rPr>
          <w:bCs/>
        </w:rPr>
        <w:t>n.</w:t>
      </w:r>
      <w:r w:rsidR="003B6C05" w:rsidRPr="00CB0585">
        <w:rPr>
          <w:bCs/>
        </w:rPr>
        <w:t xml:space="preserve"> Union Minister of Social Justice and Empowerment, Govt. of India </w:t>
      </w:r>
      <w:r w:rsidR="003B6C05">
        <w:rPr>
          <w:bCs/>
        </w:rPr>
        <w:t xml:space="preserve">along with </w:t>
      </w:r>
      <w:r w:rsidR="007221D7">
        <w:rPr>
          <w:bCs/>
        </w:rPr>
        <w:t xml:space="preserve">Mr. Rajesh Agarwal, Secretary to Govt. of India, MSJ&amp;E inaugurated the CRC </w:t>
      </w:r>
      <w:proofErr w:type="spellStart"/>
      <w:r w:rsidR="007221D7">
        <w:rPr>
          <w:bCs/>
        </w:rPr>
        <w:t>Chhatarpur</w:t>
      </w:r>
      <w:proofErr w:type="spellEnd"/>
      <w:r w:rsidR="007221D7">
        <w:rPr>
          <w:bCs/>
        </w:rPr>
        <w:t xml:space="preserve"> which will function under the administrative control of AYJNISHD(D), Mumbai.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55655" w14:textId="77777777" w:rsidR="00CE1468" w:rsidRDefault="00CE1468" w:rsidP="00185EFD">
      <w:r>
        <w:separator/>
      </w:r>
    </w:p>
  </w:endnote>
  <w:endnote w:type="continuationSeparator" w:id="0">
    <w:p w14:paraId="058518BE" w14:textId="77777777" w:rsidR="00CE1468" w:rsidRDefault="00CE1468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89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71A45" w14:textId="77777777" w:rsidR="00CE1468" w:rsidRDefault="00CE1468" w:rsidP="00185EFD">
      <w:r>
        <w:separator/>
      </w:r>
    </w:p>
  </w:footnote>
  <w:footnote w:type="continuationSeparator" w:id="0">
    <w:p w14:paraId="3121253D" w14:textId="77777777" w:rsidR="00CE1468" w:rsidRDefault="00CE1468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7BBB"/>
    <w:rsid w:val="001E1CF6"/>
    <w:rsid w:val="001E41F4"/>
    <w:rsid w:val="001E4353"/>
    <w:rsid w:val="001E48B9"/>
    <w:rsid w:val="001E7BE4"/>
    <w:rsid w:val="001F0917"/>
    <w:rsid w:val="001F1061"/>
    <w:rsid w:val="001F307A"/>
    <w:rsid w:val="001F385B"/>
    <w:rsid w:val="001F3A3E"/>
    <w:rsid w:val="001F3C3E"/>
    <w:rsid w:val="001F5048"/>
    <w:rsid w:val="002010AC"/>
    <w:rsid w:val="00201C55"/>
    <w:rsid w:val="00203A1B"/>
    <w:rsid w:val="00205B6E"/>
    <w:rsid w:val="00206CBE"/>
    <w:rsid w:val="0020730E"/>
    <w:rsid w:val="00207494"/>
    <w:rsid w:val="00207620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618"/>
    <w:rsid w:val="002258ED"/>
    <w:rsid w:val="0022670C"/>
    <w:rsid w:val="00227287"/>
    <w:rsid w:val="00227372"/>
    <w:rsid w:val="00227719"/>
    <w:rsid w:val="00230DCE"/>
    <w:rsid w:val="0023150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53E9"/>
    <w:rsid w:val="002C61E3"/>
    <w:rsid w:val="002C7E40"/>
    <w:rsid w:val="002D2835"/>
    <w:rsid w:val="002D50B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4D5"/>
    <w:rsid w:val="007545E6"/>
    <w:rsid w:val="00755215"/>
    <w:rsid w:val="00755AB8"/>
    <w:rsid w:val="00756B5F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6847"/>
    <w:rsid w:val="009B7581"/>
    <w:rsid w:val="009B7FA8"/>
    <w:rsid w:val="009C0D6E"/>
    <w:rsid w:val="009C117D"/>
    <w:rsid w:val="009C32C3"/>
    <w:rsid w:val="009C4251"/>
    <w:rsid w:val="009C4F03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F7A"/>
    <w:rsid w:val="00A05138"/>
    <w:rsid w:val="00A05F7A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D4F"/>
    <w:rsid w:val="00B31958"/>
    <w:rsid w:val="00B31EA0"/>
    <w:rsid w:val="00B31FFA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43AA"/>
    <w:rsid w:val="00F757E2"/>
    <w:rsid w:val="00F778D3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Microsoft account</cp:lastModifiedBy>
  <cp:revision>16</cp:revision>
  <cp:lastPrinted>2021-07-01T11:56:00Z</cp:lastPrinted>
  <dcterms:created xsi:type="dcterms:W3CDTF">2023-02-03T04:23:00Z</dcterms:created>
  <dcterms:modified xsi:type="dcterms:W3CDTF">2023-05-03T09:43:00Z</dcterms:modified>
</cp:coreProperties>
</file>