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0D18CAE7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B00B92">
        <w:rPr>
          <w:szCs w:val="24"/>
          <w:u w:val="none"/>
        </w:rPr>
        <w:t>AUGUST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1872"/>
        <w:gridCol w:w="2005"/>
      </w:tblGrid>
      <w:tr w:rsidR="00EE0985" w:rsidRPr="00023400" w14:paraId="672F5CC8" w14:textId="77777777" w:rsidTr="00A0671D">
        <w:trPr>
          <w:trHeight w:val="629"/>
          <w:jc w:val="center"/>
        </w:trPr>
        <w:tc>
          <w:tcPr>
            <w:tcW w:w="5023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bookmarkStart w:id="0" w:name="_GoBack"/>
            <w:bookmarkEnd w:id="0"/>
            <w:r w:rsidRPr="00023400">
              <w:t>Services</w:t>
            </w:r>
          </w:p>
        </w:tc>
        <w:tc>
          <w:tcPr>
            <w:tcW w:w="3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A0671D">
        <w:trPr>
          <w:trHeight w:val="629"/>
          <w:jc w:val="center"/>
        </w:trPr>
        <w:tc>
          <w:tcPr>
            <w:tcW w:w="5023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4B92DFD9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2571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6BCF0035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</w:t>
            </w:r>
          </w:p>
        </w:tc>
      </w:tr>
      <w:tr w:rsidR="003B6C05" w:rsidRPr="00023400" w14:paraId="48D38524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5CA26ABC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8651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7F47EF21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38414</w:t>
            </w:r>
          </w:p>
        </w:tc>
      </w:tr>
      <w:tr w:rsidR="003B6C05" w:rsidRPr="00023400" w14:paraId="4E72AEA9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5DE5A582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34605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05ADCB30" w:rsidR="003B6C05" w:rsidRPr="00023400" w:rsidRDefault="00067AC8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161766</w:t>
            </w:r>
          </w:p>
        </w:tc>
      </w:tr>
      <w:tr w:rsidR="003B6C05" w:rsidRPr="00023400" w14:paraId="7BDEA94B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4E0B45B1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7758B033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</w:t>
            </w:r>
          </w:p>
        </w:tc>
      </w:tr>
      <w:tr w:rsidR="003B6C05" w:rsidRPr="00023400" w14:paraId="1393FD83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217D6C7F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206C8479" w:rsidR="003B6C05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4902</w:t>
            </w:r>
          </w:p>
        </w:tc>
      </w:tr>
      <w:tr w:rsidR="00A0671D" w:rsidRPr="00023400" w14:paraId="334C04EB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</w:t>
            </w:r>
            <w:proofErr w:type="spellStart"/>
            <w:r>
              <w:t>i</w:t>
            </w:r>
            <w:proofErr w:type="spellEnd"/>
            <w:r>
              <w:t>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8A444" w14:textId="77777777" w:rsidR="00A0671D" w:rsidRDefault="00A0671D" w:rsidP="003B6C05">
            <w:pPr>
              <w:jc w:val="center"/>
              <w:rPr>
                <w:b/>
                <w:bCs/>
              </w:rPr>
            </w:pPr>
          </w:p>
          <w:p w14:paraId="518AA270" w14:textId="77777777" w:rsidR="00A0671D" w:rsidRDefault="00A0671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  <w:p w14:paraId="21150212" w14:textId="134101E7" w:rsidR="00A0671D" w:rsidRDefault="00A0671D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A648" w14:textId="77777777" w:rsidR="00A0671D" w:rsidRDefault="00A0671D" w:rsidP="003B6C05">
            <w:pPr>
              <w:jc w:val="center"/>
              <w:rPr>
                <w:b/>
                <w:bCs/>
              </w:rPr>
            </w:pPr>
          </w:p>
          <w:p w14:paraId="3FF2A687" w14:textId="77777777" w:rsidR="00A0671D" w:rsidRDefault="00A0671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  <w:p w14:paraId="3DFD239D" w14:textId="11999CA8" w:rsidR="00A0671D" w:rsidRDefault="00A0671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3B6C05" w:rsidRPr="00023400" w14:paraId="0C69E2A8" w14:textId="77777777" w:rsidTr="00A0671D">
        <w:trPr>
          <w:trHeight w:val="629"/>
          <w:jc w:val="center"/>
        </w:trPr>
        <w:tc>
          <w:tcPr>
            <w:tcW w:w="5023" w:type="dxa"/>
            <w:tcBorders>
              <w:right w:val="single" w:sz="4" w:space="0" w:color="auto"/>
            </w:tcBorders>
            <w:vAlign w:val="center"/>
          </w:tcPr>
          <w:p w14:paraId="26370227" w14:textId="5AEB57F1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1C31F0B6" w14:textId="528F7EAA" w:rsidR="003B6C05" w:rsidRPr="00023400" w:rsidRDefault="003B6C05" w:rsidP="003B6C05">
            <w:pPr>
              <w:rPr>
                <w:sz w:val="32"/>
              </w:rPr>
            </w:pPr>
            <w:r>
              <w:t xml:space="preserve">       (ii) Support Services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4C5F3" w14:textId="77777777" w:rsidR="00067AC8" w:rsidRDefault="00067AC8" w:rsidP="003B6C05">
            <w:pPr>
              <w:jc w:val="center"/>
              <w:rPr>
                <w:b/>
                <w:bCs/>
              </w:rPr>
            </w:pPr>
          </w:p>
          <w:p w14:paraId="63B80BC4" w14:textId="77777777" w:rsidR="00585C83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42EC4564" w14:textId="223524BC" w:rsidR="00067AC8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8C971" w14:textId="77777777" w:rsidR="00067AC8" w:rsidRDefault="00067AC8" w:rsidP="003B6C05">
            <w:pPr>
              <w:jc w:val="center"/>
              <w:rPr>
                <w:b/>
                <w:bCs/>
              </w:rPr>
            </w:pPr>
          </w:p>
          <w:p w14:paraId="7E22D7D1" w14:textId="77777777" w:rsidR="00585C83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14:paraId="7D2EEDE8" w14:textId="4A022B8F" w:rsidR="00067AC8" w:rsidRPr="00023400" w:rsidRDefault="00067AC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42213</w:t>
            </w:r>
          </w:p>
        </w:tc>
      </w:tr>
    </w:tbl>
    <w:p w14:paraId="18EF7AC3" w14:textId="19BE602B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8743DF">
        <w:trPr>
          <w:trHeight w:val="669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2430E8">
        <w:trPr>
          <w:trHeight w:val="669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0D336D55" w:rsidR="00067AC8" w:rsidRPr="00DB2E71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35F0B52E" w:rsidR="00067AC8" w:rsidRPr="00DB2E71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</w:t>
            </w:r>
          </w:p>
        </w:tc>
      </w:tr>
      <w:tr w:rsidR="00067AC8" w:rsidRPr="00023400" w14:paraId="0EB84389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067AC8" w:rsidRPr="008807A7" w:rsidRDefault="00067AC8" w:rsidP="00067AC8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067AC8" w:rsidRPr="00064A32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4401DA8D" w:rsidR="00067AC8" w:rsidRPr="00DB2E71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6E6372BC" w:rsidR="00067AC8" w:rsidRPr="00DB2E71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2609</w:t>
            </w:r>
          </w:p>
        </w:tc>
      </w:tr>
    </w:tbl>
    <w:p w14:paraId="4E0391DF" w14:textId="72E3D1F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C5F6EA1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14D0AA59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2D4E64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127856F2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6E49A3">
        <w:t>six</w:t>
      </w:r>
      <w:r w:rsidR="00AA6E41">
        <w:t xml:space="preserve"> </w:t>
      </w:r>
      <w:r w:rsidR="00082E6D" w:rsidRPr="005D589A">
        <w:t xml:space="preserve">diagnostic and fitment camps </w:t>
      </w:r>
      <w:r w:rsidR="006E49A3">
        <w:t xml:space="preserve">in various parts of the country </w:t>
      </w:r>
      <w:r w:rsidR="00082E6D" w:rsidRPr="005D589A">
        <w:t xml:space="preserve">and served </w:t>
      </w:r>
      <w:r w:rsidR="006E49A3">
        <w:t>595</w:t>
      </w:r>
      <w:r w:rsidR="00CD4ECF" w:rsidRPr="005D589A">
        <w:t xml:space="preserve"> </w:t>
      </w:r>
      <w:r w:rsidR="00082E6D" w:rsidRPr="005D589A">
        <w:t>persons out of which</w:t>
      </w:r>
      <w:r w:rsidR="006E49A3">
        <w:t xml:space="preserve"> 136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6E49A3">
        <w:t>260</w:t>
      </w:r>
      <w:r w:rsidR="002D4E64">
        <w:t xml:space="preserve"> </w:t>
      </w:r>
      <w:r w:rsidR="00082E6D" w:rsidRPr="005D589A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11B9F18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5AB8304B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r w:rsidRPr="00063C09">
        <w:rPr>
          <w:b/>
          <w:bCs/>
        </w:rPr>
        <w:t xml:space="preserve">) :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6210DE">
        <w:t>530</w:t>
      </w:r>
      <w:r w:rsidR="001B12A9">
        <w:t xml:space="preserve"> </w:t>
      </w:r>
      <w:r w:rsidR="00515A8A" w:rsidRPr="0089002E">
        <w:t xml:space="preserve">letters in Hindi, </w:t>
      </w:r>
      <w:r w:rsidR="006210DE">
        <w:t>11</w:t>
      </w:r>
      <w:r w:rsidR="003B6C05">
        <w:t xml:space="preserve"> </w:t>
      </w:r>
      <w:r w:rsidR="00515A8A" w:rsidRPr="0089002E">
        <w:t>documents were issued in bilingual form and</w:t>
      </w:r>
      <w:r w:rsidR="00846894">
        <w:t xml:space="preserve"> </w:t>
      </w:r>
      <w:r w:rsidR="006210DE">
        <w:t>262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49776AFE" w:rsidR="00BE4ACC" w:rsidRPr="00E36CEC" w:rsidRDefault="006210DE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05505E41" w:rsidR="00BE4ACC" w:rsidRDefault="006210DE" w:rsidP="00BE4ACC">
            <w:pPr>
              <w:jc w:val="center"/>
            </w:pPr>
            <w:r>
              <w:t>1</w:t>
            </w:r>
          </w:p>
        </w:tc>
        <w:tc>
          <w:tcPr>
            <w:tcW w:w="2305" w:type="dxa"/>
            <w:vAlign w:val="center"/>
          </w:tcPr>
          <w:p w14:paraId="6E8F03F9" w14:textId="773C9E21" w:rsidR="00BE4ACC" w:rsidRDefault="006210DE" w:rsidP="00D21728">
            <w:pPr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7F98560C" w14:textId="6B8B52DE" w:rsidR="00BE4ACC" w:rsidRPr="00E36CEC" w:rsidRDefault="006210DE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lastRenderedPageBreak/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D1516" w14:textId="77777777" w:rsidR="005B04F0" w:rsidRDefault="005B04F0" w:rsidP="00185EFD">
      <w:r>
        <w:separator/>
      </w:r>
    </w:p>
  </w:endnote>
  <w:endnote w:type="continuationSeparator" w:id="0">
    <w:p w14:paraId="77F0F395" w14:textId="77777777" w:rsidR="005B04F0" w:rsidRDefault="005B04F0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1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9153" w14:textId="77777777" w:rsidR="005B04F0" w:rsidRDefault="005B04F0" w:rsidP="00185EFD">
      <w:r>
        <w:separator/>
      </w:r>
    </w:p>
  </w:footnote>
  <w:footnote w:type="continuationSeparator" w:id="0">
    <w:p w14:paraId="03C257A2" w14:textId="77777777" w:rsidR="005B04F0" w:rsidRDefault="005B04F0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4F0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30</cp:revision>
  <cp:lastPrinted>2021-07-01T11:56:00Z</cp:lastPrinted>
  <dcterms:created xsi:type="dcterms:W3CDTF">2023-02-03T04:23:00Z</dcterms:created>
  <dcterms:modified xsi:type="dcterms:W3CDTF">2023-09-04T11:54:00Z</dcterms:modified>
</cp:coreProperties>
</file>